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8B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泰州市公安局北院主楼开水间、卫生间改造工程</w:t>
      </w:r>
    </w:p>
    <w:p w14:paraId="48830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编制说明</w:t>
      </w:r>
    </w:p>
    <w:p w14:paraId="41C2CB7A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kern w:val="44"/>
          <w:sz w:val="24"/>
          <w:szCs w:val="24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24"/>
          <w:szCs w:val="24"/>
        </w:rPr>
        <w:t>工程概况</w:t>
      </w:r>
    </w:p>
    <w:p w14:paraId="3E775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="108" w:leftChars="0" w:firstLine="480" w:firstLineChars="200"/>
        <w:textAlignment w:val="auto"/>
        <w:rPr>
          <w:rFonts w:hint="eastAsia" w:ascii="宋体" w:hAnsi="Times New Roman" w:eastAsia="宋体" w:cs="Times New Roman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泰州市公安局北院主楼开水间、卫生间改造工程，</w:t>
      </w:r>
      <w:r>
        <w:rPr>
          <w:rFonts w:hint="eastAsia" w:asciiTheme="minorEastAsia" w:hAnsiTheme="minorEastAsia" w:cstheme="minorEastAsia"/>
          <w:sz w:val="24"/>
        </w:rPr>
        <w:t>工程地址位于：泰州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市鼓楼路</w:t>
      </w:r>
      <w:r>
        <w:rPr>
          <w:rFonts w:hint="eastAsia" w:asciiTheme="minorEastAsia" w:hAnsiTheme="minorEastAsia" w:cstheme="minorEastAsia"/>
          <w:sz w:val="24"/>
          <w:lang w:eastAsia="zh-CN"/>
        </w:rPr>
        <w:t>，</w:t>
      </w:r>
      <w:r>
        <w:rPr>
          <w:rFonts w:hint="eastAsia" w:ascii="宋体" w:hAnsi="Times New Roman" w:eastAsia="宋体" w:cs="Times New Roman"/>
          <w:sz w:val="24"/>
          <w:lang w:val="en-US" w:eastAsia="zh-CN"/>
        </w:rPr>
        <w:t>工程概况详见工程施工设计图。</w:t>
      </w:r>
    </w:p>
    <w:p w14:paraId="3756D33E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kern w:val="44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44"/>
          <w:sz w:val="24"/>
          <w:szCs w:val="24"/>
          <w:lang w:val="en-US" w:eastAsia="zh-CN" w:bidi="ar-SA"/>
        </w:rPr>
        <w:t>二、招标范围：</w:t>
      </w:r>
    </w:p>
    <w:p w14:paraId="7BACB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="108" w:leftChars="0" w:firstLine="480" w:firstLineChars="200"/>
        <w:textAlignment w:val="auto"/>
        <w:rPr>
          <w:rFonts w:hint="default" w:ascii="宋体" w:hAnsi="Times New Roman" w:eastAsia="宋体" w:cs="Times New Roman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泰州市公安局北院主楼开水间、卫生间改造工程项目</w:t>
      </w:r>
      <w:r>
        <w:rPr>
          <w:rFonts w:hint="eastAsia" w:ascii="宋体" w:hAnsi="Times New Roman" w:eastAsia="宋体" w:cs="Times New Roman"/>
          <w:sz w:val="24"/>
          <w:lang w:val="en-US" w:eastAsia="zh-CN"/>
        </w:rPr>
        <w:t>招标范围，详见工程量清单。</w:t>
      </w:r>
    </w:p>
    <w:p w14:paraId="152836D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kern w:val="44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44"/>
          <w:sz w:val="24"/>
          <w:szCs w:val="24"/>
          <w:lang w:val="en-US" w:eastAsia="zh-CN" w:bidi="ar-SA"/>
        </w:rPr>
        <w:t>三、清单编制依据：</w:t>
      </w:r>
    </w:p>
    <w:p w14:paraId="382ADEA7">
      <w:pPr>
        <w:numPr>
          <w:ilvl w:val="0"/>
          <w:numId w:val="0"/>
        </w:num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="宋体" w:hAnsi="Times New Roman" w:eastAsia="宋体" w:cs="Times New Roman"/>
          <w:sz w:val="24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根据成都有巢工程勘察设计有限公司设计的施工图（电子版）及现场踏勘情况，</w:t>
      </w:r>
      <w:r>
        <w:rPr>
          <w:rFonts w:hint="eastAsia" w:asciiTheme="minorEastAsia" w:hAnsiTheme="minorEastAsia" w:cstheme="minorEastAsia"/>
          <w:sz w:val="24"/>
        </w:rPr>
        <w:t>以现场踏勘情况为准；</w:t>
      </w:r>
    </w:p>
    <w:p w14:paraId="754CDF99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Times New Roman" w:eastAsia="宋体" w:cs="Times New Roman"/>
          <w:sz w:val="24"/>
          <w:lang w:val="en-US" w:eastAsia="zh-CN"/>
        </w:rPr>
      </w:pPr>
      <w:r>
        <w:rPr>
          <w:rFonts w:hint="eastAsia" w:ascii="宋体" w:hAnsi="Times New Roman" w:eastAsia="宋体" w:cs="Times New Roman"/>
          <w:sz w:val="24"/>
          <w:lang w:val="en-US" w:eastAsia="zh-CN"/>
        </w:rPr>
        <w:t>2.《建设工程工程量清单计价规范》（GB50505-2013）及其9本工程量计算规范；</w:t>
      </w:r>
    </w:p>
    <w:p w14:paraId="1174A5D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Times New Roman" w:eastAsia="宋体" w:cs="Times New Roman"/>
          <w:sz w:val="24"/>
          <w:lang w:val="en-US" w:eastAsia="zh-CN"/>
        </w:rPr>
      </w:pPr>
      <w:r>
        <w:rPr>
          <w:rFonts w:hint="eastAsia" w:ascii="宋体" w:hAnsi="Times New Roman" w:eastAsia="宋体" w:cs="Times New Roman"/>
          <w:sz w:val="24"/>
          <w:lang w:val="en-US" w:eastAsia="zh-CN"/>
        </w:rPr>
        <w:t>3.《江苏省建设工程费用定额》(2014年)；</w:t>
      </w:r>
    </w:p>
    <w:p w14:paraId="63A035E9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Times New Roman" w:eastAsia="宋体" w:cs="Times New Roman"/>
          <w:sz w:val="24"/>
          <w:lang w:val="en-US" w:eastAsia="zh-CN"/>
        </w:rPr>
      </w:pPr>
      <w:r>
        <w:rPr>
          <w:rFonts w:hint="eastAsia" w:ascii="宋体" w:hAnsi="Times New Roman" w:eastAsia="宋体" w:cs="Times New Roman"/>
          <w:sz w:val="24"/>
          <w:lang w:val="en-US" w:eastAsia="zh-CN"/>
        </w:rPr>
        <w:t>4.《江苏省建筑与装饰工程计价定额》(2014年)、《江苏省安装工程计价定额》(2014年)、《江苏省市政工程计价定额》(2014年)、《江苏省修缮工程计价表》(2009年)等；</w:t>
      </w:r>
    </w:p>
    <w:p w14:paraId="0F98F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="108" w:leftChars="0" w:firstLine="480" w:firstLineChars="200"/>
        <w:textAlignment w:val="auto"/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>5.</w:t>
      </w:r>
      <w:r>
        <w:rPr>
          <w:rFonts w:hint="eastAsia" w:ascii="宋体"/>
          <w:sz w:val="24"/>
        </w:rPr>
        <w:t>《江苏省施工机械台班费用定额》(2007年)</w:t>
      </w:r>
      <w:r>
        <w:rPr>
          <w:rFonts w:hint="eastAsia" w:ascii="宋体"/>
          <w:sz w:val="24"/>
          <w:lang w:eastAsia="zh-CN"/>
        </w:rPr>
        <w:t>，</w:t>
      </w:r>
      <w:r>
        <w:rPr>
          <w:rFonts w:hint="eastAsia" w:ascii="宋体"/>
          <w:sz w:val="24"/>
        </w:rPr>
        <w:t>苏建价〔2011〕791号关于印发《江苏省施工机械台班补充定额》的通知；</w:t>
      </w:r>
    </w:p>
    <w:p w14:paraId="110F7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Chars="0" w:firstLine="480" w:firstLineChars="200"/>
        <w:textAlignment w:val="auto"/>
        <w:rPr>
          <w:rFonts w:hint="eastAsia" w:ascii="宋体" w:hAnsi="Times New Roman" w:eastAsia="宋体" w:cs="Times New Roman"/>
          <w:sz w:val="24"/>
        </w:rPr>
      </w:pPr>
      <w:r>
        <w:rPr>
          <w:rFonts w:hint="eastAsia" w:ascii="宋体" w:hAnsi="Times New Roman" w:eastAsia="宋体" w:cs="Times New Roman"/>
          <w:sz w:val="24"/>
          <w:lang w:val="en-US" w:eastAsia="zh-CN"/>
        </w:rPr>
        <w:t>6.</w:t>
      </w:r>
      <w:r>
        <w:rPr>
          <w:rFonts w:hint="eastAsia" w:ascii="宋体" w:hAnsi="Times New Roman" w:eastAsia="宋体" w:cs="Times New Roman"/>
          <w:sz w:val="24"/>
        </w:rPr>
        <w:t>苏建价(2014)299号关于颁发《江苏省建设工程费用定额》的通知及江苏省建设厅江苏省建设工程费用定额》(2014年) 营改增后调整内容的相关通知；</w:t>
      </w:r>
    </w:p>
    <w:p w14:paraId="39B11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Chars="0" w:firstLine="480" w:firstLineChars="200"/>
        <w:textAlignment w:val="auto"/>
        <w:rPr>
          <w:rFonts w:hint="eastAsia" w:ascii="宋体" w:hAnsi="Times New Roman" w:eastAsia="宋体" w:cs="Times New Roman"/>
          <w:sz w:val="24"/>
        </w:rPr>
      </w:pPr>
      <w:r>
        <w:rPr>
          <w:rFonts w:hint="eastAsia" w:ascii="宋体" w:hAnsi="Times New Roman" w:eastAsia="宋体" w:cs="Times New Roman"/>
          <w:sz w:val="24"/>
          <w:lang w:val="en-US" w:eastAsia="zh-CN"/>
        </w:rPr>
        <w:t>7.</w:t>
      </w:r>
      <w:r>
        <w:rPr>
          <w:rFonts w:hint="eastAsia" w:ascii="宋体" w:hAnsi="Times New Roman" w:eastAsia="宋体" w:cs="Times New Roman"/>
          <w:sz w:val="24"/>
        </w:rPr>
        <w:t>苏建函价〔2019〕178号《省住房城乡建设厅关于建筑业增值税计价政策调整的通知》；</w:t>
      </w:r>
    </w:p>
    <w:p w14:paraId="570E3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Chars="0" w:firstLine="480" w:firstLineChars="200"/>
        <w:textAlignment w:val="auto"/>
        <w:rPr>
          <w:rFonts w:hint="eastAsia" w:ascii="宋体" w:hAnsi="Times New Roman" w:eastAsia="宋体" w:cs="Times New Roman"/>
          <w:sz w:val="24"/>
          <w:lang w:val="en-US" w:eastAsia="zh-CN"/>
        </w:rPr>
      </w:pPr>
      <w:r>
        <w:rPr>
          <w:rFonts w:hint="eastAsia" w:ascii="宋体" w:hAnsi="Times New Roman" w:eastAsia="宋体" w:cs="Times New Roman"/>
          <w:sz w:val="24"/>
          <w:lang w:val="en-US" w:eastAsia="zh-CN"/>
        </w:rPr>
        <w:t>8.</w:t>
      </w:r>
      <w:r>
        <w:rPr>
          <w:rFonts w:hint="eastAsia" w:ascii="宋体" w:hAnsi="Times New Roman" w:eastAsia="宋体" w:cs="Times New Roman"/>
          <w:sz w:val="24"/>
        </w:rPr>
        <w:t>〔2019〕第19号江苏省住房和城乡建设厅公告《省住房和城乡建设厅关于建筑工人实名制费用计取方法的公告》；</w:t>
      </w:r>
    </w:p>
    <w:p w14:paraId="6743A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Chars="0" w:firstLine="480" w:firstLineChars="200"/>
        <w:textAlignment w:val="auto"/>
        <w:rPr>
          <w:rFonts w:hint="eastAsia" w:ascii="宋体" w:hAnsi="Times New Roman" w:eastAsia="宋体" w:cs="Times New Roman"/>
          <w:sz w:val="24"/>
        </w:rPr>
      </w:pPr>
      <w:r>
        <w:rPr>
          <w:rFonts w:hint="eastAsia" w:ascii="宋体" w:hAnsi="Times New Roman" w:eastAsia="宋体" w:cs="Times New Roman"/>
          <w:sz w:val="24"/>
          <w:lang w:val="en-US" w:eastAsia="zh-CN"/>
        </w:rPr>
        <w:t>9.</w:t>
      </w:r>
      <w:r>
        <w:rPr>
          <w:rFonts w:hint="eastAsia" w:ascii="宋体" w:hAnsi="Times New Roman" w:eastAsia="宋体" w:cs="Times New Roman"/>
          <w:sz w:val="24"/>
        </w:rPr>
        <w:t>材料价参照2025年第</w:t>
      </w:r>
      <w:r>
        <w:rPr>
          <w:rFonts w:hint="eastAsia" w:ascii="宋体" w:hAnsi="Times New Roman" w:eastAsia="宋体" w:cs="Times New Roman"/>
          <w:sz w:val="24"/>
          <w:lang w:val="en-US" w:eastAsia="zh-CN"/>
        </w:rPr>
        <w:t>10</w:t>
      </w:r>
      <w:r>
        <w:rPr>
          <w:rFonts w:hint="eastAsia" w:ascii="宋体" w:hAnsi="Times New Roman" w:eastAsia="宋体" w:cs="Times New Roman"/>
          <w:sz w:val="24"/>
        </w:rPr>
        <w:t>期《泰州市工程造价管理》</w:t>
      </w:r>
      <w:r>
        <w:rPr>
          <w:rFonts w:hint="eastAsia" w:ascii="宋体" w:hAnsi="Times New Roman" w:eastAsia="宋体" w:cs="Times New Roman"/>
          <w:sz w:val="24"/>
          <w:lang w:val="en-US" w:eastAsia="zh-CN"/>
        </w:rPr>
        <w:t>信息价</w:t>
      </w:r>
      <w:r>
        <w:rPr>
          <w:rFonts w:hint="eastAsia" w:ascii="宋体" w:hAnsi="Times New Roman" w:eastAsia="宋体" w:cs="Times New Roman"/>
          <w:sz w:val="24"/>
        </w:rPr>
        <w:t>、无</w:t>
      </w:r>
      <w:r>
        <w:rPr>
          <w:rFonts w:hint="eastAsia" w:ascii="宋体" w:hAnsi="Times New Roman" w:eastAsia="宋体" w:cs="Times New Roman"/>
          <w:sz w:val="24"/>
          <w:lang w:val="en-US" w:eastAsia="zh-CN"/>
        </w:rPr>
        <w:t>信息</w:t>
      </w:r>
      <w:r>
        <w:rPr>
          <w:rFonts w:hint="eastAsia" w:ascii="宋体" w:hAnsi="Times New Roman" w:eastAsia="宋体" w:cs="Times New Roman"/>
          <w:sz w:val="24"/>
        </w:rPr>
        <w:t>价的参照市场价格；</w:t>
      </w:r>
    </w:p>
    <w:p w14:paraId="14E7C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Chars="0" w:firstLine="480" w:firstLineChars="200"/>
        <w:textAlignment w:val="auto"/>
        <w:rPr>
          <w:rFonts w:hint="eastAsia" w:ascii="宋体" w:hAnsi="Times New Roman" w:eastAsia="宋体" w:cs="Times New Roman"/>
          <w:sz w:val="24"/>
          <w:lang w:val="en-US" w:eastAsia="zh-CN"/>
        </w:rPr>
      </w:pPr>
      <w:r>
        <w:rPr>
          <w:rFonts w:hint="eastAsia" w:ascii="宋体" w:hAnsi="Times New Roman" w:eastAsia="宋体" w:cs="Times New Roman"/>
          <w:sz w:val="24"/>
          <w:lang w:val="en-US" w:eastAsia="zh-CN"/>
        </w:rPr>
        <w:t>10.</w:t>
      </w:r>
      <w:r>
        <w:rPr>
          <w:rFonts w:hint="eastAsia" w:ascii="宋体" w:hAnsi="Times New Roman" w:eastAsia="宋体" w:cs="Times New Roman"/>
          <w:sz w:val="24"/>
        </w:rPr>
        <w:t>苏建函价〔2025〕</w:t>
      </w:r>
      <w:r>
        <w:rPr>
          <w:rFonts w:hint="eastAsia" w:ascii="宋体" w:hAnsi="Times New Roman" w:eastAsia="宋体" w:cs="Times New Roman"/>
          <w:sz w:val="24"/>
          <w:lang w:val="en-US" w:eastAsia="zh-CN"/>
        </w:rPr>
        <w:t>273</w:t>
      </w:r>
      <w:r>
        <w:rPr>
          <w:rFonts w:hint="eastAsia" w:ascii="宋体" w:hAnsi="Times New Roman" w:eastAsia="宋体" w:cs="Times New Roman"/>
          <w:sz w:val="24"/>
        </w:rPr>
        <w:t>号《江苏省住房和城乡建设厅关于发布建设工程人工工资指导价的通知》</w:t>
      </w:r>
      <w:r>
        <w:rPr>
          <w:rFonts w:hint="eastAsia" w:ascii="宋体" w:hAnsi="Times New Roman" w:eastAsia="宋体" w:cs="Times New Roman"/>
          <w:sz w:val="24"/>
          <w:lang w:val="en-US" w:eastAsia="zh-CN"/>
        </w:rPr>
        <w:t>。</w:t>
      </w:r>
    </w:p>
    <w:p w14:paraId="068D26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>四、工程取费类别：</w:t>
      </w:r>
    </w:p>
    <w:tbl>
      <w:tblPr>
        <w:tblStyle w:val="5"/>
        <w:tblpPr w:leftFromText="180" w:rightFromText="180" w:vertAnchor="text" w:horzAnchor="page" w:tblpXSpec="center" w:tblpY="322"/>
        <w:tblOverlap w:val="never"/>
        <w:tblW w:w="7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3296"/>
        <w:gridCol w:w="2906"/>
      </w:tblGrid>
      <w:tr w14:paraId="2CE1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noWrap w:val="0"/>
            <w:vAlign w:val="center"/>
          </w:tcPr>
          <w:p w14:paraId="071D1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296" w:type="dxa"/>
            <w:noWrap w:val="0"/>
            <w:vAlign w:val="center"/>
          </w:tcPr>
          <w:p w14:paraId="0BDE2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单位工程</w:t>
            </w:r>
          </w:p>
        </w:tc>
        <w:tc>
          <w:tcPr>
            <w:tcW w:w="2906" w:type="dxa"/>
            <w:noWrap w:val="0"/>
            <w:vAlign w:val="center"/>
          </w:tcPr>
          <w:p w14:paraId="63F8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工程类别</w:t>
            </w:r>
          </w:p>
        </w:tc>
      </w:tr>
      <w:tr w14:paraId="3790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noWrap w:val="0"/>
            <w:vAlign w:val="center"/>
          </w:tcPr>
          <w:p w14:paraId="5B377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96" w:type="dxa"/>
            <w:noWrap w:val="0"/>
            <w:vAlign w:val="center"/>
          </w:tcPr>
          <w:p w14:paraId="222AC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泰州市公安局北院主楼开水间、卫生间改造工程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-土建</w:t>
            </w:r>
          </w:p>
        </w:tc>
        <w:tc>
          <w:tcPr>
            <w:tcW w:w="2906" w:type="dxa"/>
            <w:noWrap w:val="0"/>
            <w:vAlign w:val="center"/>
          </w:tcPr>
          <w:p w14:paraId="5B991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三类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建筑工程</w:t>
            </w:r>
          </w:p>
        </w:tc>
      </w:tr>
      <w:tr w14:paraId="6ACA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noWrap w:val="0"/>
            <w:vAlign w:val="center"/>
          </w:tcPr>
          <w:p w14:paraId="30BE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296" w:type="dxa"/>
            <w:noWrap w:val="0"/>
            <w:vAlign w:val="center"/>
          </w:tcPr>
          <w:p w14:paraId="056F9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泰州市公安局北院主楼开水间、卫生间改造工程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安装</w:t>
            </w:r>
          </w:p>
        </w:tc>
        <w:tc>
          <w:tcPr>
            <w:tcW w:w="2906" w:type="dxa"/>
            <w:noWrap w:val="0"/>
            <w:vAlign w:val="center"/>
          </w:tcPr>
          <w:p w14:paraId="30E29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三类安装工程</w:t>
            </w:r>
          </w:p>
        </w:tc>
      </w:tr>
    </w:tbl>
    <w:p w14:paraId="574B98ED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kern w:val="44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44"/>
          <w:sz w:val="24"/>
          <w:szCs w:val="24"/>
          <w:lang w:val="en-US" w:eastAsia="zh-CN" w:bidi="ar-SA"/>
        </w:rPr>
        <w:t>五、其他说明的问题：</w:t>
      </w:r>
    </w:p>
    <w:p w14:paraId="0BBDF6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宋体" w:hAnsi="Times New Roman" w:eastAsia="宋体" w:cs="Times New Roman"/>
          <w:b/>
          <w:bCs/>
          <w:sz w:val="24"/>
        </w:rPr>
      </w:pPr>
      <w:r>
        <w:rPr>
          <w:rFonts w:hint="eastAsia" w:ascii="宋体" w:hAnsi="Times New Roman" w:eastAsia="宋体" w:cs="Times New Roman"/>
          <w:b/>
          <w:bCs/>
          <w:sz w:val="24"/>
          <w:lang w:eastAsia="zh-CN"/>
        </w:rPr>
        <w:t>（</w:t>
      </w:r>
      <w:r>
        <w:rPr>
          <w:rFonts w:hint="eastAsia" w:ascii="宋体" w:hAnsi="Times New Roman" w:eastAsia="宋体" w:cs="Times New Roman"/>
          <w:b/>
          <w:bCs/>
          <w:sz w:val="24"/>
          <w:lang w:val="en-US" w:eastAsia="zh-CN"/>
        </w:rPr>
        <w:t>一</w:t>
      </w:r>
      <w:r>
        <w:rPr>
          <w:rFonts w:hint="eastAsia" w:ascii="宋体" w:hAnsi="Times New Roman" w:eastAsia="宋体" w:cs="Times New Roman"/>
          <w:b/>
          <w:bCs/>
          <w:sz w:val="24"/>
          <w:lang w:eastAsia="zh-CN"/>
        </w:rPr>
        <w:t>）</w:t>
      </w:r>
      <w:r>
        <w:rPr>
          <w:rFonts w:hint="eastAsia" w:ascii="宋体" w:hAnsi="Times New Roman" w:eastAsia="宋体" w:cs="Times New Roman"/>
          <w:b/>
          <w:bCs/>
          <w:sz w:val="24"/>
        </w:rPr>
        <w:t>土建工程：</w:t>
      </w:r>
    </w:p>
    <w:p w14:paraId="06381D56">
      <w:pPr>
        <w:adjustRightInd w:val="0"/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lang w:val="en-US" w:eastAsia="zh-CN"/>
        </w:rPr>
      </w:pPr>
      <w:r>
        <w:rPr>
          <w:rFonts w:asciiTheme="minorEastAsia" w:hAnsiTheme="minorEastAsia" w:cstheme="minorEastAsia"/>
          <w:sz w:val="24"/>
        </w:rPr>
        <w:t>1</w:t>
      </w:r>
      <w:r>
        <w:rPr>
          <w:rFonts w:hint="eastAsia" w:asciiTheme="minorEastAsia" w:hAnsiTheme="minorEastAsia" w:cstheme="minorEastAsia"/>
          <w:sz w:val="24"/>
        </w:rPr>
        <w:t>、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工程量按现场及甲方提供的改造要求计算，结算时按实调整，拆除垃圾处理方式及外运距离，由投标单位自行踏勘现场后报价，结算时单价不调整；</w:t>
      </w:r>
    </w:p>
    <w:p w14:paraId="17944F95">
      <w:pPr>
        <w:adjustRightInd w:val="0"/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2、</w:t>
      </w:r>
      <w:r>
        <w:rPr>
          <w:rFonts w:hint="eastAsia" w:asciiTheme="minorEastAsia" w:hAnsiTheme="minorEastAsia" w:cstheme="minorEastAsia"/>
          <w:sz w:val="24"/>
        </w:rPr>
        <w:t>主要材料品牌要求</w:t>
      </w:r>
    </w:p>
    <w:p w14:paraId="58123D24">
      <w:pPr>
        <w:adjustRightInd w:val="0"/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</w:rPr>
        <w:t>1）、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墙地砖：东鹏、萨米特、冠珠</w:t>
      </w:r>
    </w:p>
    <w:p w14:paraId="3820B4DB">
      <w:pPr>
        <w:adjustRightInd w:val="0"/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2）、木门及门套：美心、TATA、大明</w:t>
      </w:r>
    </w:p>
    <w:p w14:paraId="0DD5E0A1">
      <w:pPr>
        <w:adjustRightInd w:val="0"/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3）、铝方板：坚美、亚铝、凤铝</w:t>
      </w:r>
    </w:p>
    <w:p w14:paraId="13983E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宋体" w:hAnsi="Times New Roman" w:eastAsia="宋体" w:cs="Times New Roman"/>
          <w:b/>
          <w:bCs/>
          <w:sz w:val="24"/>
          <w:lang w:eastAsia="zh-CN"/>
        </w:rPr>
      </w:pPr>
      <w:r>
        <w:rPr>
          <w:rFonts w:hint="eastAsia" w:ascii="宋体" w:hAnsi="Times New Roman" w:eastAsia="宋体" w:cs="Times New Roman"/>
          <w:b/>
          <w:bCs/>
          <w:sz w:val="24"/>
          <w:lang w:eastAsia="zh-CN"/>
        </w:rPr>
        <w:t>（</w:t>
      </w:r>
      <w:r>
        <w:rPr>
          <w:rFonts w:hint="eastAsia" w:ascii="宋体" w:hAnsi="Times New Roman" w:eastAsia="宋体" w:cs="Times New Roman"/>
          <w:b/>
          <w:bCs/>
          <w:sz w:val="24"/>
          <w:lang w:val="en-US" w:eastAsia="zh-CN"/>
        </w:rPr>
        <w:t>二</w:t>
      </w:r>
      <w:r>
        <w:rPr>
          <w:rFonts w:hint="eastAsia" w:ascii="宋体" w:hAnsi="Times New Roman" w:eastAsia="宋体" w:cs="Times New Roman"/>
          <w:b/>
          <w:bCs/>
          <w:sz w:val="24"/>
          <w:lang w:eastAsia="zh-CN"/>
        </w:rPr>
        <w:t>）</w:t>
      </w:r>
      <w:r>
        <w:rPr>
          <w:rFonts w:hint="eastAsia" w:ascii="宋体" w:hAnsi="Times New Roman" w:eastAsia="宋体" w:cs="Times New Roman"/>
          <w:b/>
          <w:bCs/>
          <w:sz w:val="24"/>
          <w:lang w:val="en-US" w:eastAsia="zh-CN"/>
        </w:rPr>
        <w:t>安装</w:t>
      </w:r>
      <w:r>
        <w:rPr>
          <w:rFonts w:hint="eastAsia" w:ascii="宋体" w:hAnsi="Times New Roman" w:eastAsia="宋体" w:cs="Times New Roman"/>
          <w:b/>
          <w:bCs/>
          <w:sz w:val="24"/>
          <w:lang w:eastAsia="zh-CN"/>
        </w:rPr>
        <w:t>工程：</w:t>
      </w:r>
    </w:p>
    <w:p w14:paraId="45EBC0B5">
      <w:pPr>
        <w:adjustRightInd w:val="0"/>
        <w:spacing w:line="360" w:lineRule="auto"/>
        <w:ind w:firstLine="480" w:firstLineChars="200"/>
        <w:rPr>
          <w:rFonts w:hint="default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1、主要材料品牌要求</w:t>
      </w:r>
    </w:p>
    <w:p w14:paraId="1EDB423F">
      <w:pPr>
        <w:adjustRightInd w:val="0"/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1）、</w:t>
      </w:r>
      <w:r>
        <w:rPr>
          <w:rFonts w:hint="eastAsia" w:asciiTheme="minorEastAsia" w:hAnsiTheme="minorEastAsia" w:cstheme="minorEastAsia"/>
          <w:sz w:val="24"/>
        </w:rPr>
        <w:t>电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缆</w:t>
      </w:r>
      <w:r>
        <w:rPr>
          <w:rFonts w:hint="eastAsia" w:asciiTheme="minorEastAsia" w:hAnsiTheme="minorEastAsia" w:cstheme="minorEastAsia"/>
          <w:sz w:val="24"/>
        </w:rPr>
        <w:t>：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上海南洋、双登、远东</w:t>
      </w:r>
    </w:p>
    <w:p w14:paraId="32CEFBA1">
      <w:pPr>
        <w:adjustRightInd w:val="0"/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</w:rPr>
        <w:t>）、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电气元件：正泰、公牛、德力西</w:t>
      </w:r>
      <w:r>
        <w:rPr>
          <w:rFonts w:hint="eastAsia" w:asciiTheme="minorEastAsia" w:hAnsiTheme="minorEastAsia" w:cstheme="minorEastAsia"/>
          <w:sz w:val="24"/>
        </w:rPr>
        <w:t>。</w:t>
      </w:r>
    </w:p>
    <w:p w14:paraId="2DFBA953">
      <w:pPr>
        <w:adjustRightInd w:val="0"/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</w:rPr>
        <w:t>）、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地漏</w:t>
      </w:r>
      <w:r>
        <w:rPr>
          <w:rFonts w:hint="eastAsia" w:asciiTheme="minorEastAsia" w:hAnsiTheme="minorEastAsia" w:cstheme="minorEastAsia"/>
          <w:sz w:val="24"/>
        </w:rPr>
        <w:t>：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潜水艇</w:t>
      </w:r>
      <w:r>
        <w:rPr>
          <w:rFonts w:hint="eastAsia" w:asciiTheme="minorEastAsia" w:hAnsiTheme="minorEastAsia" w:cstheme="minorEastAsia"/>
          <w:sz w:val="24"/>
        </w:rPr>
        <w:t>、箭牌、九牧。</w:t>
      </w:r>
    </w:p>
    <w:p w14:paraId="44136B2A">
      <w:pPr>
        <w:adjustRightInd w:val="0"/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4"/>
        </w:rPr>
        <w:t>）、卫生洁具：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惠达、箭牌</w:t>
      </w:r>
      <w:r>
        <w:rPr>
          <w:rFonts w:hint="eastAsia" w:asciiTheme="minorEastAsia" w:hAnsiTheme="minorEastAsia" w:cstheme="minorEastAsia"/>
          <w:sz w:val="24"/>
        </w:rPr>
        <w:t>、九牧。</w:t>
      </w:r>
    </w:p>
    <w:p w14:paraId="4C603BB9">
      <w:pPr>
        <w:adjustRightIn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（三）总价措施费：</w:t>
      </w:r>
    </w:p>
    <w:p w14:paraId="6A6625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20" w:afterLines="50" w:line="44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highlight w:val="none"/>
        </w:rPr>
        <w:t>总价措施费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highlight w:val="none"/>
        </w:rPr>
        <w:t>取费费率详见工程量清单。</w:t>
      </w:r>
    </w:p>
    <w:p w14:paraId="7B213EE4">
      <w:pPr>
        <w:adjustRightIn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（四）、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  <w:lang w:val="en-US" w:eastAsia="zh-CN"/>
        </w:rPr>
        <w:t>其他事项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highlight w:val="none"/>
          <w:lang w:eastAsia="zh-CN"/>
        </w:rPr>
        <w:t>：</w:t>
      </w:r>
    </w:p>
    <w:p w14:paraId="2302136C">
      <w:pPr>
        <w:adjustRightInd w:val="0"/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1）、本清单包含暂列金额。</w:t>
      </w:r>
    </w:p>
    <w:p w14:paraId="74DA0B7D">
      <w:pPr>
        <w:adjustRightInd w:val="0"/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2）、拆除后有利用价值材料按业主要求清运到业主指定位置。</w:t>
      </w:r>
    </w:p>
    <w:p w14:paraId="12E61A7C">
      <w:pPr>
        <w:adjustRightInd w:val="0"/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lang w:val="en-US" w:eastAsia="zh-CN"/>
        </w:rPr>
      </w:pPr>
    </w:p>
    <w:p w14:paraId="525492E9">
      <w:pPr>
        <w:adjustRightInd w:val="0"/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lang w:val="en-US" w:eastAsia="zh-CN"/>
        </w:rPr>
      </w:pPr>
    </w:p>
    <w:p w14:paraId="621ACABA">
      <w:pPr>
        <w:adjustRightInd w:val="0"/>
        <w:snapToGrid w:val="0"/>
        <w:spacing w:line="360" w:lineRule="auto"/>
        <w:ind w:firstLine="4578" w:firstLineChars="1900"/>
        <w:jc w:val="left"/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jA0ZWYyMzc3M2FlZDlkOTA2ZmI4NzEzMjY0YWQifQ=="/>
  </w:docVars>
  <w:rsids>
    <w:rsidRoot w:val="2BB90E34"/>
    <w:rsid w:val="00182BE8"/>
    <w:rsid w:val="00184C5E"/>
    <w:rsid w:val="00187312"/>
    <w:rsid w:val="00233461"/>
    <w:rsid w:val="00381BD1"/>
    <w:rsid w:val="004E4AA1"/>
    <w:rsid w:val="004F5EE0"/>
    <w:rsid w:val="006701D3"/>
    <w:rsid w:val="00767854"/>
    <w:rsid w:val="00891609"/>
    <w:rsid w:val="008D534B"/>
    <w:rsid w:val="009F51EC"/>
    <w:rsid w:val="00B06B70"/>
    <w:rsid w:val="00C03645"/>
    <w:rsid w:val="00C3693F"/>
    <w:rsid w:val="00CA2BCA"/>
    <w:rsid w:val="00CE1E65"/>
    <w:rsid w:val="00D9471F"/>
    <w:rsid w:val="014C698C"/>
    <w:rsid w:val="03812661"/>
    <w:rsid w:val="047F0FEB"/>
    <w:rsid w:val="050146A3"/>
    <w:rsid w:val="05DA14A1"/>
    <w:rsid w:val="06655A0D"/>
    <w:rsid w:val="0FC22C67"/>
    <w:rsid w:val="0FFF6366"/>
    <w:rsid w:val="135A1A5A"/>
    <w:rsid w:val="14B27425"/>
    <w:rsid w:val="156A0A5B"/>
    <w:rsid w:val="15D64DE0"/>
    <w:rsid w:val="164024F2"/>
    <w:rsid w:val="170610F8"/>
    <w:rsid w:val="171060F8"/>
    <w:rsid w:val="1ABA2925"/>
    <w:rsid w:val="1DEC54EC"/>
    <w:rsid w:val="1FF92596"/>
    <w:rsid w:val="20D34741"/>
    <w:rsid w:val="23230088"/>
    <w:rsid w:val="24B83904"/>
    <w:rsid w:val="2677791D"/>
    <w:rsid w:val="28E46971"/>
    <w:rsid w:val="29F86B7B"/>
    <w:rsid w:val="2AD94465"/>
    <w:rsid w:val="2B391645"/>
    <w:rsid w:val="2BB90E34"/>
    <w:rsid w:val="2CD7381C"/>
    <w:rsid w:val="2D323079"/>
    <w:rsid w:val="2ED43176"/>
    <w:rsid w:val="30243DA6"/>
    <w:rsid w:val="30C714A1"/>
    <w:rsid w:val="31075CD7"/>
    <w:rsid w:val="31807FDD"/>
    <w:rsid w:val="338626CE"/>
    <w:rsid w:val="349C18C4"/>
    <w:rsid w:val="34FF63CE"/>
    <w:rsid w:val="35FD413E"/>
    <w:rsid w:val="37050F31"/>
    <w:rsid w:val="38AC005A"/>
    <w:rsid w:val="3A171D97"/>
    <w:rsid w:val="3A3F2541"/>
    <w:rsid w:val="3BEE1FD7"/>
    <w:rsid w:val="3D2D1483"/>
    <w:rsid w:val="3EB11001"/>
    <w:rsid w:val="3EEC0B07"/>
    <w:rsid w:val="3F991855"/>
    <w:rsid w:val="3FD135BF"/>
    <w:rsid w:val="3FFD2610"/>
    <w:rsid w:val="4002783C"/>
    <w:rsid w:val="407F0759"/>
    <w:rsid w:val="42D805B3"/>
    <w:rsid w:val="431E4982"/>
    <w:rsid w:val="43C54415"/>
    <w:rsid w:val="44E12BDA"/>
    <w:rsid w:val="46924547"/>
    <w:rsid w:val="46AD769B"/>
    <w:rsid w:val="473B2201"/>
    <w:rsid w:val="477C7182"/>
    <w:rsid w:val="4DAC7573"/>
    <w:rsid w:val="4DF47921"/>
    <w:rsid w:val="4F9F646B"/>
    <w:rsid w:val="4FD10EB4"/>
    <w:rsid w:val="51D5126C"/>
    <w:rsid w:val="548F77FA"/>
    <w:rsid w:val="56FB3287"/>
    <w:rsid w:val="5C362FF6"/>
    <w:rsid w:val="5D035EA0"/>
    <w:rsid w:val="5E2C27BF"/>
    <w:rsid w:val="5E904176"/>
    <w:rsid w:val="5F6B2B12"/>
    <w:rsid w:val="60C714E1"/>
    <w:rsid w:val="622F7785"/>
    <w:rsid w:val="652C3394"/>
    <w:rsid w:val="65672A56"/>
    <w:rsid w:val="681A3973"/>
    <w:rsid w:val="681D1337"/>
    <w:rsid w:val="6AC925B8"/>
    <w:rsid w:val="6B966A9A"/>
    <w:rsid w:val="6D7D3037"/>
    <w:rsid w:val="6DB66549"/>
    <w:rsid w:val="6E445CC6"/>
    <w:rsid w:val="6E571528"/>
    <w:rsid w:val="6F671C9A"/>
    <w:rsid w:val="71773196"/>
    <w:rsid w:val="729F2352"/>
    <w:rsid w:val="72AC17D7"/>
    <w:rsid w:val="74870883"/>
    <w:rsid w:val="77CA303F"/>
    <w:rsid w:val="77DB7C17"/>
    <w:rsid w:val="78752DED"/>
    <w:rsid w:val="78EA5A0F"/>
    <w:rsid w:val="79E76F5B"/>
    <w:rsid w:val="7ACD0A2E"/>
    <w:rsid w:val="7BC01697"/>
    <w:rsid w:val="7C101492"/>
    <w:rsid w:val="7C3242A6"/>
    <w:rsid w:val="7D862B11"/>
    <w:rsid w:val="7EC4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994</Words>
  <Characters>1081</Characters>
  <Lines>13</Lines>
  <Paragraphs>3</Paragraphs>
  <TotalTime>4</TotalTime>
  <ScaleCrop>false</ScaleCrop>
  <LinksUpToDate>false</LinksUpToDate>
  <CharactersWithSpaces>1083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2023-02-03T09:11:00Z</dcterms:created>
  <dc:creator>窦志qin</dc:creator>
  <cp:lastModifiedBy>申杰</cp:lastModifiedBy>
  <cp:lastPrinted>2024-04-22T06:27:00Z</cp:lastPrinted>
  <dcterms:modified xsi:type="dcterms:W3CDTF">2025-11-28T01:44:40Z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BCCD24E60D914323A3BDB8BFC0A1349D_13</vt:lpwstr>
  </property>
  <property fmtid="{D5CDD505-2E9C-101B-9397-08002B2CF9AE}" pid="4" name="KSOTemplateDocerSaveRecord">
    <vt:lpwstr>eyJoZGlkIjoiNjU2OWEwMWQ4N2JlYjBmM2Q2YTBmYTEwYTNiNzU1MDIiLCJ1c2VySWQiOiIzOTIyNjI2NzEifQ==</vt:lpwstr>
  </property>
</Properties>
</file>